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5EF96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w:t>
      </w:r>
      <w:r w:rsidR="0077576A">
        <w:t>9</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52118B">
        <w:rPr>
          <w:sz w:val="32"/>
          <w:szCs w:val="32"/>
        </w:rPr>
        <w:t>19644</w:t>
      </w:r>
    </w:p>
    <w:p w14:paraId="0CE7B7E6" w14:textId="16008B1E" w:rsidR="00E90E49" w:rsidRPr="00CE0424" w:rsidRDefault="0077576A" w:rsidP="00311702">
      <w:pPr>
        <w:pStyle w:val="3GPPHeader"/>
      </w:pPr>
      <w:r>
        <w:t>Chicago</w:t>
      </w:r>
      <w:r w:rsidR="0027144F" w:rsidRPr="00A82108">
        <w:t xml:space="preserve">, </w:t>
      </w:r>
      <w:r>
        <w:t>USA</w:t>
      </w:r>
      <w:r w:rsidR="0027144F" w:rsidRPr="00A82108">
        <w:t xml:space="preserve">, </w:t>
      </w:r>
      <w:r>
        <w:t>November</w:t>
      </w:r>
      <w:r w:rsidR="0027144F" w:rsidRPr="00A82108">
        <w:t xml:space="preserve"> </w:t>
      </w:r>
      <w:r>
        <w:t>13</w:t>
      </w:r>
      <w:r w:rsidR="001D53E7" w:rsidRPr="00A82108">
        <w:t xml:space="preserve">th – </w:t>
      </w:r>
      <w:r w:rsidR="00A82108" w:rsidRPr="00A82108">
        <w:t>1</w:t>
      </w:r>
      <w:r>
        <w:t>7</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38B2AB7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2118B">
        <w:rPr>
          <w:sz w:val="22"/>
          <w:lang w:val="sv-FI"/>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66D294D" w:rsidR="00E90E49" w:rsidRPr="00CE0424" w:rsidRDefault="003D3C45" w:rsidP="00311702">
      <w:pPr>
        <w:pStyle w:val="3GPPHeader"/>
        <w:rPr>
          <w:sz w:val="22"/>
        </w:rPr>
      </w:pPr>
      <w:r>
        <w:rPr>
          <w:sz w:val="22"/>
        </w:rPr>
        <w:t>Title:</w:t>
      </w:r>
      <w:r w:rsidR="00E90E49" w:rsidRPr="00CE0424">
        <w:rPr>
          <w:sz w:val="22"/>
        </w:rPr>
        <w:tab/>
      </w:r>
      <w:r w:rsidR="0052118B" w:rsidRPr="0052118B">
        <w:rPr>
          <w:sz w:val="22"/>
        </w:rPr>
        <w:t>AI future study and work considerations</w:t>
      </w:r>
    </w:p>
    <w:p w14:paraId="025260C1" w14:textId="3581B0D7" w:rsidR="00E90E49" w:rsidRPr="00CE0424" w:rsidRDefault="00E90E49" w:rsidP="00D546FF">
      <w:pPr>
        <w:pStyle w:val="3GPPHeader"/>
        <w:rPr>
          <w:sz w:val="22"/>
        </w:rPr>
      </w:pPr>
      <w:r w:rsidRPr="00CE0424">
        <w:rPr>
          <w:sz w:val="22"/>
        </w:rPr>
        <w:t>Document for:</w:t>
      </w:r>
      <w:r w:rsidRPr="00CE0424">
        <w:rPr>
          <w:sz w:val="22"/>
        </w:rPr>
        <w:tab/>
      </w:r>
      <w:r w:rsidR="0052118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95C0832" w:rsidR="00477768" w:rsidRDefault="00960539" w:rsidP="00CE0424">
      <w:pPr>
        <w:pStyle w:val="BodyText"/>
      </w:pPr>
      <w:r>
        <w:t>During recent RAN4 meetings, AI/ML has been discussed with a small number of time units.</w:t>
      </w:r>
      <w:r w:rsidR="009F44CB">
        <w:t xml:space="preserve"> Since AI in PHY is a new paradigm, converging on very specific proposals will take time, but good progress has been achieved in shaping the discussion</w:t>
      </w:r>
      <w:r w:rsidR="00BE154D">
        <w:t xml:space="preserve"> and preparing for later normative work.</w:t>
      </w:r>
    </w:p>
    <w:p w14:paraId="0A48288B" w14:textId="5FF6012A" w:rsidR="0037468A" w:rsidRDefault="00BE154D" w:rsidP="00CE0424">
      <w:pPr>
        <w:pStyle w:val="BodyText"/>
      </w:pPr>
      <w:r>
        <w:t xml:space="preserve">It is important to keep in mind that the role of RAN4 </w:t>
      </w:r>
      <w:r w:rsidR="00FD365D">
        <w:t xml:space="preserve">in the study </w:t>
      </w:r>
      <w:r>
        <w:t>is quite different to that of RAN</w:t>
      </w:r>
      <w:r w:rsidR="00FD365D">
        <w:t xml:space="preserve">1. RAN1 is investigating potential gains and needed </w:t>
      </w:r>
      <w:r w:rsidR="00D54BB6">
        <w:t>signaling</w:t>
      </w:r>
      <w:r w:rsidR="00FD365D">
        <w:t xml:space="preserve"> and </w:t>
      </w:r>
      <w:r w:rsidR="00D54BB6">
        <w:t>procedures</w:t>
      </w:r>
      <w:r w:rsidR="00FD365D">
        <w:t xml:space="preserve"> (together with RAN2) for supporting AI in PHY. The role of RAN4 is not </w:t>
      </w:r>
      <w:r w:rsidR="00D54BB6">
        <w:t>investigate</w:t>
      </w:r>
      <w:r w:rsidR="00FD365D">
        <w:t xml:space="preserve"> means that AI solutions outperform non-AI solutions. Rather, </w:t>
      </w:r>
      <w:r w:rsidR="00D64885">
        <w:t>RAN4</w:t>
      </w:r>
      <w:r w:rsidR="00FD365D">
        <w:t xml:space="preserve"> assumes that an AI solution has been identified that </w:t>
      </w:r>
      <w:r w:rsidR="00774CDE">
        <w:t xml:space="preserve">is expected to outperform </w:t>
      </w:r>
      <w:r w:rsidR="00D64885">
        <w:t xml:space="preserve">non-AI in some aspect and </w:t>
      </w:r>
      <w:r w:rsidR="00210510">
        <w:t>for which</w:t>
      </w:r>
      <w:r w:rsidR="00D64885">
        <w:t xml:space="preserve"> associated signaling and procedures </w:t>
      </w:r>
      <w:r w:rsidR="00210510">
        <w:t>have been created</w:t>
      </w:r>
      <w:r w:rsidR="00FA13F8">
        <w:t>.</w:t>
      </w:r>
      <w:r w:rsidR="00D64885">
        <w:t xml:space="preserve"> </w:t>
      </w:r>
      <w:r w:rsidR="00FA13F8">
        <w:t>RAN4</w:t>
      </w:r>
      <w:r w:rsidR="00D64885">
        <w:t xml:space="preserve"> then goes on to devise core requirements and conformance test parameters (or, in the case of the BS, conformance tests) that can ensure that implementations of the AI feature perform as expected</w:t>
      </w:r>
      <w:r w:rsidR="00F77D5E">
        <w:t xml:space="preserve"> and in a</w:t>
      </w:r>
      <w:r w:rsidR="007E51C9">
        <w:t>n interoperable and</w:t>
      </w:r>
      <w:r w:rsidR="00F77D5E">
        <w:t xml:space="preserve"> predictable manner in actual implementations. This work is important in order that the </w:t>
      </w:r>
      <w:r w:rsidR="00FF35C1">
        <w:t>performance of the feature and predictability of network behavior can be ensured in an interoperable and multi-vendor environment.</w:t>
      </w:r>
      <w:r w:rsidR="0037468A">
        <w:t xml:space="preserve"> The RAN4 goal may mean that simply attempting to measure RAN1 KPIs may not be appropriate.</w:t>
      </w:r>
    </w:p>
    <w:p w14:paraId="5CF17DA4" w14:textId="4E3830A1" w:rsidR="0037468A" w:rsidRDefault="0037468A" w:rsidP="00CE0424">
      <w:pPr>
        <w:pStyle w:val="BodyText"/>
      </w:pPr>
      <w:r>
        <w:t xml:space="preserve">It should be noted that for the UE, it is RAN5 that specifies conformance tests and at some </w:t>
      </w:r>
      <w:proofErr w:type="gramStart"/>
      <w:r>
        <w:t>point</w:t>
      </w:r>
      <w:proofErr w:type="gramEnd"/>
      <w:r>
        <w:t xml:space="preserve"> when the work is more developed it will become important to work with RAN5 to ensure testability of UE requirements.</w:t>
      </w:r>
    </w:p>
    <w:p w14:paraId="5CAE824E" w14:textId="7C80692D" w:rsidR="00FC720E" w:rsidRDefault="00FC720E" w:rsidP="00CE0424">
      <w:pPr>
        <w:pStyle w:val="BodyText"/>
      </w:pPr>
      <w:r>
        <w:t xml:space="preserve">In order to achieve </w:t>
      </w:r>
      <w:proofErr w:type="spellStart"/>
      <w:proofErr w:type="gramStart"/>
      <w:r>
        <w:t>it’s</w:t>
      </w:r>
      <w:proofErr w:type="spellEnd"/>
      <w:proofErr w:type="gramEnd"/>
      <w:r>
        <w:t xml:space="preserve"> goal, RAN4 needs to consider manner and means of ensuring that the AI algorithms</w:t>
      </w:r>
      <w:r w:rsidR="007C5631">
        <w:t xml:space="preserve"> perform as expected and in a </w:t>
      </w:r>
      <w:r w:rsidR="005B29F5">
        <w:t>predictable manner</w:t>
      </w:r>
      <w:r w:rsidR="00D81E16">
        <w:t>. As part of this work, it may be important to consider t</w:t>
      </w:r>
      <w:r w:rsidR="00E46006">
        <w:t>he extent to which RAN4 requirements for non-AI achieve these goals.</w:t>
      </w:r>
      <w:r w:rsidR="00E77B9A">
        <w:t xml:space="preserve"> For some AI functionality, it may be that the approaches for non-AI are reasonable. However, sin</w:t>
      </w:r>
      <w:r w:rsidR="00102241">
        <w:t xml:space="preserve">ce AI operates differently to deterministic algorithms </w:t>
      </w:r>
      <w:proofErr w:type="gramStart"/>
      <w:r w:rsidR="00102241">
        <w:t>and also</w:t>
      </w:r>
      <w:proofErr w:type="gramEnd"/>
      <w:r w:rsidR="00102241">
        <w:t xml:space="preserve"> needs LCM procedures to manage it (unlike non-AI) then </w:t>
      </w:r>
      <w:r w:rsidR="00DA02EF">
        <w:t>it is important to consider how and where AI differs.</w:t>
      </w:r>
    </w:p>
    <w:p w14:paraId="48FF6F4C" w14:textId="45A16B6D" w:rsidR="00DA02EF" w:rsidRDefault="00DA02EF" w:rsidP="00CE0424">
      <w:pPr>
        <w:pStyle w:val="BodyText"/>
      </w:pPr>
      <w:proofErr w:type="gramStart"/>
      <w:r>
        <w:t>A number of</w:t>
      </w:r>
      <w:proofErr w:type="gramEnd"/>
      <w:r>
        <w:t xml:space="preserve"> topics are identified that are of importance to consider in RAN4:</w:t>
      </w:r>
    </w:p>
    <w:p w14:paraId="5723B1E6" w14:textId="6A4F7E1E" w:rsidR="00DA02EF" w:rsidRDefault="00DC3B80" w:rsidP="00DA02EF">
      <w:pPr>
        <w:pStyle w:val="BodyText"/>
        <w:numPr>
          <w:ilvl w:val="0"/>
          <w:numId w:val="23"/>
        </w:numPr>
      </w:pPr>
      <w:r>
        <w:t xml:space="preserve">The requirement metrics and descriptions for each use case that could form a basis of core </w:t>
      </w:r>
      <w:proofErr w:type="gramStart"/>
      <w:r>
        <w:t>requirements</w:t>
      </w:r>
      <w:proofErr w:type="gramEnd"/>
    </w:p>
    <w:p w14:paraId="06A631B3" w14:textId="30AEACE5" w:rsidR="00DC3B80" w:rsidRDefault="00DC3B80" w:rsidP="00DA02EF">
      <w:pPr>
        <w:pStyle w:val="BodyText"/>
        <w:numPr>
          <w:ilvl w:val="0"/>
          <w:numId w:val="23"/>
        </w:numPr>
      </w:pPr>
      <w:r>
        <w:t xml:space="preserve">The behavior of the AI functionality for each use case in different scenarios, channels and configurations in order to assess the generalizability </w:t>
      </w:r>
      <w:proofErr w:type="gramStart"/>
      <w:r>
        <w:t>behavior</w:t>
      </w:r>
      <w:proofErr w:type="gramEnd"/>
    </w:p>
    <w:p w14:paraId="382B889C" w14:textId="6EC4246D" w:rsidR="00DC3B80" w:rsidRDefault="00DC3B80" w:rsidP="00DA02EF">
      <w:pPr>
        <w:pStyle w:val="BodyText"/>
        <w:numPr>
          <w:ilvl w:val="0"/>
          <w:numId w:val="23"/>
        </w:numPr>
      </w:pPr>
      <w:r>
        <w:t xml:space="preserve">The </w:t>
      </w:r>
      <w:r w:rsidR="009679DF">
        <w:t xml:space="preserve">range of test conditions and testing approach needed to ensure </w:t>
      </w:r>
      <w:r w:rsidR="000C6984">
        <w:t>goo</w:t>
      </w:r>
      <w:r w:rsidR="006167A5">
        <w:t>d</w:t>
      </w:r>
      <w:r w:rsidR="000C6984">
        <w:t xml:space="preserve"> requirement</w:t>
      </w:r>
      <w:r w:rsidR="00B7156C">
        <w:t>/test</w:t>
      </w:r>
      <w:r w:rsidR="000C6984">
        <w:t xml:space="preserve"> coverage</w:t>
      </w:r>
      <w:r w:rsidR="009679DF">
        <w:t xml:space="preserve"> (for each use case)</w:t>
      </w:r>
    </w:p>
    <w:p w14:paraId="3FAD22DF" w14:textId="28861EB1" w:rsidR="009679DF" w:rsidRDefault="009679DF" w:rsidP="00DA02EF">
      <w:pPr>
        <w:pStyle w:val="BodyText"/>
        <w:numPr>
          <w:ilvl w:val="0"/>
          <w:numId w:val="23"/>
        </w:numPr>
      </w:pPr>
      <w:r>
        <w:t xml:space="preserve">The feasibility of testing to ensure generalizability </w:t>
      </w:r>
      <w:r w:rsidR="006167A5">
        <w:t xml:space="preserve">to all needed scenarios </w:t>
      </w:r>
      <w:r>
        <w:t>(use case specific)</w:t>
      </w:r>
    </w:p>
    <w:p w14:paraId="07951C5E" w14:textId="184AE089" w:rsidR="009679DF" w:rsidRDefault="00B234F6" w:rsidP="00DA02EF">
      <w:pPr>
        <w:pStyle w:val="BodyText"/>
        <w:numPr>
          <w:ilvl w:val="0"/>
          <w:numId w:val="23"/>
        </w:numPr>
      </w:pPr>
      <w:r>
        <w:t xml:space="preserve">The limits of generalizability </w:t>
      </w:r>
      <w:r w:rsidR="009A1BC5">
        <w:t xml:space="preserve">to relevant scenarios </w:t>
      </w:r>
      <w:r>
        <w:t>(use case specific)</w:t>
      </w:r>
    </w:p>
    <w:p w14:paraId="60133BB6" w14:textId="233FC519" w:rsidR="00B234F6" w:rsidRDefault="00B234F6" w:rsidP="00DA02EF">
      <w:pPr>
        <w:pStyle w:val="BodyText"/>
        <w:numPr>
          <w:ilvl w:val="0"/>
          <w:numId w:val="23"/>
        </w:numPr>
      </w:pPr>
      <w:r>
        <w:t>Requirements relating to executing LCM related procedures</w:t>
      </w:r>
      <w:r w:rsidR="00FA3614">
        <w:t xml:space="preserve">, </w:t>
      </w:r>
      <w:r w:rsidR="00B7156C">
        <w:t>s</w:t>
      </w:r>
      <w:r w:rsidR="00FA3614">
        <w:t>uch as model activation etc.</w:t>
      </w:r>
    </w:p>
    <w:p w14:paraId="06AC476B" w14:textId="7AD94900" w:rsidR="00FA3614" w:rsidRDefault="00FA3614" w:rsidP="00DA02EF">
      <w:pPr>
        <w:pStyle w:val="BodyText"/>
        <w:numPr>
          <w:ilvl w:val="0"/>
          <w:numId w:val="23"/>
        </w:numPr>
      </w:pPr>
      <w:r>
        <w:t xml:space="preserve">Requirements relating to model monitoring and metrics reported by the </w:t>
      </w:r>
      <w:proofErr w:type="gramStart"/>
      <w:r>
        <w:t>UE</w:t>
      </w:r>
      <w:proofErr w:type="gramEnd"/>
    </w:p>
    <w:p w14:paraId="7CD27371" w14:textId="761A3592" w:rsidR="00CA1F4A" w:rsidRDefault="00CA1F4A" w:rsidP="00DA02EF">
      <w:pPr>
        <w:pStyle w:val="BodyText"/>
        <w:numPr>
          <w:ilvl w:val="0"/>
          <w:numId w:val="23"/>
        </w:numPr>
      </w:pPr>
      <w:r>
        <w:lastRenderedPageBreak/>
        <w:t xml:space="preserve">How to handle updating or change of the model during </w:t>
      </w:r>
      <w:proofErr w:type="spellStart"/>
      <w:proofErr w:type="gramStart"/>
      <w:r>
        <w:t>it’s</w:t>
      </w:r>
      <w:proofErr w:type="spellEnd"/>
      <w:proofErr w:type="gramEnd"/>
      <w:r>
        <w:t xml:space="preserve"> lifetime</w:t>
      </w:r>
    </w:p>
    <w:p w14:paraId="2D9CA0DB" w14:textId="768ADB0F" w:rsidR="00FA3614" w:rsidRDefault="00B4048D" w:rsidP="00DA02EF">
      <w:pPr>
        <w:pStyle w:val="BodyText"/>
        <w:numPr>
          <w:ilvl w:val="0"/>
          <w:numId w:val="23"/>
        </w:numPr>
      </w:pPr>
      <w:proofErr w:type="gramStart"/>
      <w:r>
        <w:t>Two sided</w:t>
      </w:r>
      <w:proofErr w:type="gramEnd"/>
      <w:r>
        <w:t xml:space="preserve"> model testing approaches (for CSI compression)</w:t>
      </w:r>
    </w:p>
    <w:p w14:paraId="4802CD4D" w14:textId="7085CFD9" w:rsidR="00D27E02" w:rsidRDefault="00D27E02" w:rsidP="00DA02EF">
      <w:pPr>
        <w:pStyle w:val="BodyText"/>
        <w:numPr>
          <w:ilvl w:val="0"/>
          <w:numId w:val="23"/>
        </w:numPr>
      </w:pPr>
      <w:r>
        <w:t>Testability aspects and reference diagrams</w:t>
      </w:r>
    </w:p>
    <w:p w14:paraId="352A24EC" w14:textId="77777777" w:rsidR="00D27E02" w:rsidRDefault="00D27E02" w:rsidP="00D27E02">
      <w:pPr>
        <w:pStyle w:val="BodyText"/>
      </w:pPr>
    </w:p>
    <w:p w14:paraId="47B4160F" w14:textId="60790282" w:rsidR="00D27E02" w:rsidRDefault="00D27E02" w:rsidP="00D27E02">
      <w:pPr>
        <w:pStyle w:val="BodyText"/>
      </w:pPr>
      <w:r>
        <w:t>This list is not exhaustive as it is quite possible that further issues and questions are yet to be discovered.</w:t>
      </w:r>
    </w:p>
    <w:p w14:paraId="1D62186F" w14:textId="2A1238F9" w:rsidR="00B7156C" w:rsidRDefault="00B7156C" w:rsidP="00D27E02">
      <w:pPr>
        <w:pStyle w:val="BodyText"/>
      </w:pPr>
      <w:r>
        <w:t xml:space="preserve">For defining requirements, RAN4 may need to perform some or </w:t>
      </w:r>
      <w:proofErr w:type="gramStart"/>
      <w:r>
        <w:t>all of</w:t>
      </w:r>
      <w:proofErr w:type="gramEnd"/>
      <w:r>
        <w:t xml:space="preserve"> the following</w:t>
      </w:r>
      <w:r w:rsidR="0071502A">
        <w:t xml:space="preserve"> for every use-case</w:t>
      </w:r>
      <w:r>
        <w:t>:</w:t>
      </w:r>
    </w:p>
    <w:p w14:paraId="285A00BC" w14:textId="6EC2D602" w:rsidR="00B7156C" w:rsidRDefault="00B7156C" w:rsidP="00B7156C">
      <w:pPr>
        <w:pStyle w:val="BodyText"/>
        <w:numPr>
          <w:ilvl w:val="0"/>
          <w:numId w:val="24"/>
        </w:numPr>
      </w:pPr>
      <w:r>
        <w:t xml:space="preserve">Agree on reference models for deriving </w:t>
      </w:r>
      <w:proofErr w:type="gramStart"/>
      <w:r>
        <w:t>requirements</w:t>
      </w:r>
      <w:proofErr w:type="gramEnd"/>
    </w:p>
    <w:p w14:paraId="43990203" w14:textId="5DE9F188" w:rsidR="00B7156C" w:rsidRDefault="00B7156C" w:rsidP="00B7156C">
      <w:pPr>
        <w:pStyle w:val="BodyText"/>
        <w:numPr>
          <w:ilvl w:val="0"/>
          <w:numId w:val="24"/>
        </w:numPr>
      </w:pPr>
      <w:r>
        <w:t xml:space="preserve">Agree on parameterizations for reference </w:t>
      </w:r>
      <w:proofErr w:type="gramStart"/>
      <w:r>
        <w:t>models</w:t>
      </w:r>
      <w:proofErr w:type="gramEnd"/>
    </w:p>
    <w:p w14:paraId="72E3D7AD" w14:textId="070EBBA3" w:rsidR="00B7156C" w:rsidRDefault="00B7156C" w:rsidP="00B7156C">
      <w:pPr>
        <w:pStyle w:val="BodyText"/>
        <w:numPr>
          <w:ilvl w:val="0"/>
          <w:numId w:val="24"/>
        </w:numPr>
      </w:pPr>
      <w:r>
        <w:t xml:space="preserve">Agree on broad assumptions for training </w:t>
      </w:r>
      <w:proofErr w:type="gramStart"/>
      <w:r>
        <w:t>data</w:t>
      </w:r>
      <w:proofErr w:type="gramEnd"/>
    </w:p>
    <w:p w14:paraId="5B4101FA" w14:textId="331DFF33" w:rsidR="00B7156C" w:rsidRDefault="00B7156C" w:rsidP="00B7156C">
      <w:pPr>
        <w:pStyle w:val="BodyText"/>
        <w:numPr>
          <w:ilvl w:val="0"/>
          <w:numId w:val="24"/>
        </w:numPr>
      </w:pPr>
      <w:r>
        <w:t xml:space="preserve">Find a method to align simulation </w:t>
      </w:r>
      <w:proofErr w:type="gramStart"/>
      <w:r>
        <w:t>results</w:t>
      </w:r>
      <w:proofErr w:type="gramEnd"/>
    </w:p>
    <w:p w14:paraId="20D42291" w14:textId="2771277A" w:rsidR="00082AFF" w:rsidRDefault="00082AFF" w:rsidP="00B7156C">
      <w:pPr>
        <w:pStyle w:val="BodyText"/>
        <w:numPr>
          <w:ilvl w:val="0"/>
          <w:numId w:val="24"/>
        </w:numPr>
      </w:pPr>
      <w:r>
        <w:t xml:space="preserve">Present and align </w:t>
      </w:r>
      <w:proofErr w:type="gramStart"/>
      <w:r>
        <w:t>simulations</w:t>
      </w:r>
      <w:proofErr w:type="gramEnd"/>
    </w:p>
    <w:p w14:paraId="3B0432DC" w14:textId="2A7B2E89" w:rsidR="00082AFF" w:rsidRDefault="00082AFF" w:rsidP="00B7156C">
      <w:pPr>
        <w:pStyle w:val="BodyText"/>
        <w:numPr>
          <w:ilvl w:val="0"/>
          <w:numId w:val="24"/>
        </w:numPr>
      </w:pPr>
      <w:r>
        <w:t xml:space="preserve">Determine appropriate implementation </w:t>
      </w:r>
      <w:proofErr w:type="gramStart"/>
      <w:r>
        <w:t>margins</w:t>
      </w:r>
      <w:proofErr w:type="gramEnd"/>
    </w:p>
    <w:p w14:paraId="52B500D4" w14:textId="77777777" w:rsidR="00082AFF" w:rsidRDefault="00082AFF" w:rsidP="00082AFF">
      <w:pPr>
        <w:pStyle w:val="BodyText"/>
        <w:ind w:left="720"/>
      </w:pPr>
    </w:p>
    <w:p w14:paraId="488F31E5" w14:textId="04EDB4AA" w:rsidR="00B409E0" w:rsidRDefault="00F31483" w:rsidP="00080E82">
      <w:pPr>
        <w:pStyle w:val="BodyText"/>
      </w:pPr>
      <w:r>
        <w:t>For Rel-19 work, RAN is still discussing what will start as normative work and what will or will not have further study in RAN1.</w:t>
      </w:r>
      <w:r w:rsidR="00D83F57">
        <w:t xml:space="preserve"> From a RAN4 perspective, even if topics become more mature in RAN1, it is important that sufficient progress is made in developing an understanding of RAN4 requirements and RAN4/5 tests that RAN4 is in a good position to </w:t>
      </w:r>
      <w:r w:rsidR="0035212B">
        <w:t>develop specifications. To enable this, in our understanding RAN4 discussions need to in some way continue</w:t>
      </w:r>
      <w:r w:rsidR="00133389">
        <w:t xml:space="preserve"> into 2024. Thus, we propose that RAN4 recommend that RAN4 discussion should continue/begin right from the start of any WI.</w:t>
      </w:r>
    </w:p>
    <w:p w14:paraId="367B3490" w14:textId="2F9C4291" w:rsidR="00080E82" w:rsidRDefault="00080E82" w:rsidP="00080E82">
      <w:pPr>
        <w:pStyle w:val="BodyText"/>
      </w:pPr>
    </w:p>
    <w:p w14:paraId="18B28EBE" w14:textId="5BB3D0C8" w:rsidR="00080E82" w:rsidRDefault="00080E82" w:rsidP="00080E82">
      <w:pPr>
        <w:pStyle w:val="Proposal"/>
      </w:pPr>
      <w:r>
        <w:t xml:space="preserve">RAN4 should </w:t>
      </w:r>
      <w:r w:rsidR="003E0068">
        <w:t xml:space="preserve">recommend to </w:t>
      </w:r>
      <w:r>
        <w:t>continue/start</w:t>
      </w:r>
      <w:r w:rsidR="003E0068">
        <w:t xml:space="preserve"> discuss</w:t>
      </w:r>
      <w:r w:rsidR="005A6B04">
        <w:t>i</w:t>
      </w:r>
      <w:r w:rsidR="003E0068">
        <w:t>on</w:t>
      </w:r>
      <w:r>
        <w:t xml:space="preserve"> from the beginning of any AI-PHY WI</w:t>
      </w:r>
    </w:p>
    <w:p w14:paraId="491D5401" w14:textId="4E18E786" w:rsidR="00082AFF" w:rsidRDefault="00082AFF" w:rsidP="00082AFF">
      <w:pPr>
        <w:pStyle w:val="Proposal"/>
        <w:numPr>
          <w:ilvl w:val="0"/>
          <w:numId w:val="0"/>
        </w:numPr>
      </w:pPr>
    </w:p>
    <w:p w14:paraId="2C76E895" w14:textId="14DFFD08" w:rsidR="00082AFF" w:rsidRDefault="00082AFF" w:rsidP="00082AFF">
      <w:pPr>
        <w:pStyle w:val="Proposal"/>
        <w:numPr>
          <w:ilvl w:val="0"/>
          <w:numId w:val="0"/>
        </w:numPr>
        <w:rPr>
          <w:b w:val="0"/>
          <w:bCs w:val="0"/>
        </w:rPr>
      </w:pPr>
      <w:r>
        <w:rPr>
          <w:b w:val="0"/>
          <w:bCs w:val="0"/>
        </w:rPr>
        <w:t xml:space="preserve">It is also important that RAN provides sufficient time units to adequately cover </w:t>
      </w:r>
      <w:proofErr w:type="gramStart"/>
      <w:r>
        <w:rPr>
          <w:b w:val="0"/>
          <w:bCs w:val="0"/>
        </w:rPr>
        <w:t>all of</w:t>
      </w:r>
      <w:proofErr w:type="gramEnd"/>
      <w:r>
        <w:rPr>
          <w:b w:val="0"/>
          <w:bCs w:val="0"/>
        </w:rPr>
        <w:t xml:space="preserve"> the issues listed above.</w:t>
      </w:r>
      <w:r w:rsidR="0031333A">
        <w:rPr>
          <w:b w:val="0"/>
          <w:bCs w:val="0"/>
        </w:rPr>
        <w:t xml:space="preserve"> The amount of work is </w:t>
      </w:r>
      <w:r w:rsidR="00DE1B02">
        <w:rPr>
          <w:b w:val="0"/>
          <w:bCs w:val="0"/>
        </w:rPr>
        <w:t xml:space="preserve">quite </w:t>
      </w:r>
      <w:proofErr w:type="gramStart"/>
      <w:r w:rsidR="00DE1B02">
        <w:rPr>
          <w:b w:val="0"/>
          <w:bCs w:val="0"/>
        </w:rPr>
        <w:t>significant</w:t>
      </w:r>
      <w:proofErr w:type="gramEnd"/>
      <w:r w:rsidR="00DE1B02">
        <w:rPr>
          <w:b w:val="0"/>
          <w:bCs w:val="0"/>
        </w:rPr>
        <w:t xml:space="preserve"> and it is important to have sufficient meeting time to handle all of the issues.</w:t>
      </w:r>
    </w:p>
    <w:p w14:paraId="6FFAE795" w14:textId="07932A81" w:rsidR="00DE1B02" w:rsidRDefault="00DE1B02" w:rsidP="00082AFF">
      <w:pPr>
        <w:pStyle w:val="Proposal"/>
        <w:numPr>
          <w:ilvl w:val="0"/>
          <w:numId w:val="0"/>
        </w:numPr>
        <w:rPr>
          <w:b w:val="0"/>
          <w:bCs w:val="0"/>
        </w:rPr>
      </w:pPr>
    </w:p>
    <w:p w14:paraId="33D25594" w14:textId="574C8295" w:rsidR="00DE1B02" w:rsidRPr="00082AFF" w:rsidRDefault="00DE1B02" w:rsidP="00DE1B02">
      <w:pPr>
        <w:pStyle w:val="Observation"/>
      </w:pPr>
      <w:r>
        <w:t>A quite significant amount of TU should be allocated for AI/ML (exact amount depending on the scope and number of use cases</w:t>
      </w:r>
      <w:r w:rsidR="0077576A">
        <w:t>; for all use cases 2-3 TU should be considered).</w:t>
      </w: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CC97" w14:textId="77777777" w:rsidR="00396774" w:rsidRDefault="00396774">
      <w:r>
        <w:separator/>
      </w:r>
    </w:p>
  </w:endnote>
  <w:endnote w:type="continuationSeparator" w:id="0">
    <w:p w14:paraId="70E524A0" w14:textId="77777777" w:rsidR="00396774" w:rsidRDefault="00396774">
      <w:r>
        <w:continuationSeparator/>
      </w:r>
    </w:p>
  </w:endnote>
  <w:endnote w:type="continuationNotice" w:id="1">
    <w:p w14:paraId="20581BE2" w14:textId="77777777" w:rsidR="00396774" w:rsidRDefault="00396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7ABD" w14:textId="77777777" w:rsidR="00396774" w:rsidRDefault="00396774">
      <w:r>
        <w:separator/>
      </w:r>
    </w:p>
  </w:footnote>
  <w:footnote w:type="continuationSeparator" w:id="0">
    <w:p w14:paraId="73A4EE76" w14:textId="77777777" w:rsidR="00396774" w:rsidRDefault="00396774">
      <w:r>
        <w:continuationSeparator/>
      </w:r>
    </w:p>
  </w:footnote>
  <w:footnote w:type="continuationNotice" w:id="1">
    <w:p w14:paraId="259A92E8" w14:textId="77777777" w:rsidR="00396774" w:rsidRDefault="003967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4B26B7"/>
    <w:multiLevelType w:val="hybridMultilevel"/>
    <w:tmpl w:val="C7A47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4638A"/>
    <w:multiLevelType w:val="hybridMultilevel"/>
    <w:tmpl w:val="E7207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20"/>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1"/>
  </w:num>
  <w:num w:numId="17" w16cid:durableId="183830960">
    <w:abstractNumId w:val="5"/>
  </w:num>
  <w:num w:numId="18" w16cid:durableId="1606114056">
    <w:abstractNumId w:val="6"/>
  </w:num>
  <w:num w:numId="19" w16cid:durableId="2129543684">
    <w:abstractNumId w:val="4"/>
  </w:num>
  <w:num w:numId="20" w16cid:durableId="1458717335">
    <w:abstractNumId w:val="23"/>
  </w:num>
  <w:num w:numId="21" w16cid:durableId="1670518138">
    <w:abstractNumId w:val="11"/>
  </w:num>
  <w:num w:numId="22" w16cid:durableId="350379046">
    <w:abstractNumId w:val="22"/>
  </w:num>
  <w:num w:numId="23" w16cid:durableId="96682499">
    <w:abstractNumId w:val="7"/>
  </w:num>
  <w:num w:numId="24" w16cid:durableId="20759271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E82"/>
    <w:rsid w:val="00081AE6"/>
    <w:rsid w:val="00082AF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984"/>
    <w:rsid w:val="000D0D07"/>
    <w:rsid w:val="000D4797"/>
    <w:rsid w:val="000E0527"/>
    <w:rsid w:val="000E057C"/>
    <w:rsid w:val="000E1E92"/>
    <w:rsid w:val="000F06D6"/>
    <w:rsid w:val="000F0EB1"/>
    <w:rsid w:val="000F1106"/>
    <w:rsid w:val="000F3BE9"/>
    <w:rsid w:val="000F3F6C"/>
    <w:rsid w:val="000F6DF3"/>
    <w:rsid w:val="001005FF"/>
    <w:rsid w:val="00102241"/>
    <w:rsid w:val="001062FB"/>
    <w:rsid w:val="001063E6"/>
    <w:rsid w:val="00113CF4"/>
    <w:rsid w:val="001153EA"/>
    <w:rsid w:val="00115643"/>
    <w:rsid w:val="00116765"/>
    <w:rsid w:val="001219F5"/>
    <w:rsid w:val="00121A20"/>
    <w:rsid w:val="0012377F"/>
    <w:rsid w:val="00124314"/>
    <w:rsid w:val="00126B4A"/>
    <w:rsid w:val="00132FD0"/>
    <w:rsid w:val="00133389"/>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51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33A"/>
    <w:rsid w:val="00313FD6"/>
    <w:rsid w:val="003143BD"/>
    <w:rsid w:val="00315363"/>
    <w:rsid w:val="003203ED"/>
    <w:rsid w:val="00322C9F"/>
    <w:rsid w:val="00324D23"/>
    <w:rsid w:val="00331751"/>
    <w:rsid w:val="00334579"/>
    <w:rsid w:val="00335858"/>
    <w:rsid w:val="00336BDA"/>
    <w:rsid w:val="00342BD7"/>
    <w:rsid w:val="00346DB5"/>
    <w:rsid w:val="003477B1"/>
    <w:rsid w:val="0035212B"/>
    <w:rsid w:val="00357380"/>
    <w:rsid w:val="003602D9"/>
    <w:rsid w:val="003604CE"/>
    <w:rsid w:val="00370E47"/>
    <w:rsid w:val="003742AC"/>
    <w:rsid w:val="0037468A"/>
    <w:rsid w:val="00377CE1"/>
    <w:rsid w:val="00385BF0"/>
    <w:rsid w:val="003939FF"/>
    <w:rsid w:val="0039677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068"/>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8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6B04"/>
    <w:rsid w:val="005B1409"/>
    <w:rsid w:val="005B29F5"/>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67A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02A"/>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CDE"/>
    <w:rsid w:val="007755F2"/>
    <w:rsid w:val="0077576A"/>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5631"/>
    <w:rsid w:val="007C60BF"/>
    <w:rsid w:val="007C6A07"/>
    <w:rsid w:val="007C75A1"/>
    <w:rsid w:val="007C77A5"/>
    <w:rsid w:val="007D04E5"/>
    <w:rsid w:val="007D5901"/>
    <w:rsid w:val="007D7526"/>
    <w:rsid w:val="007E4610"/>
    <w:rsid w:val="007E4715"/>
    <w:rsid w:val="007E505B"/>
    <w:rsid w:val="007E51C9"/>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539"/>
    <w:rsid w:val="00961921"/>
    <w:rsid w:val="0096430A"/>
    <w:rsid w:val="0096554B"/>
    <w:rsid w:val="0096584A"/>
    <w:rsid w:val="009679DF"/>
    <w:rsid w:val="00971F08"/>
    <w:rsid w:val="0097603D"/>
    <w:rsid w:val="00976949"/>
    <w:rsid w:val="00980477"/>
    <w:rsid w:val="00985253"/>
    <w:rsid w:val="009853B3"/>
    <w:rsid w:val="00990630"/>
    <w:rsid w:val="00991761"/>
    <w:rsid w:val="00994DCA"/>
    <w:rsid w:val="009960EC"/>
    <w:rsid w:val="009970DD"/>
    <w:rsid w:val="009A0FBA"/>
    <w:rsid w:val="009A1601"/>
    <w:rsid w:val="009A1BC5"/>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4CB"/>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1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4F6"/>
    <w:rsid w:val="00B2757F"/>
    <w:rsid w:val="00B2763F"/>
    <w:rsid w:val="00B27AAC"/>
    <w:rsid w:val="00B30929"/>
    <w:rsid w:val="00B372AA"/>
    <w:rsid w:val="00B40445"/>
    <w:rsid w:val="00B4048D"/>
    <w:rsid w:val="00B409E0"/>
    <w:rsid w:val="00B41888"/>
    <w:rsid w:val="00B45A52"/>
    <w:rsid w:val="00B46175"/>
    <w:rsid w:val="00B548B7"/>
    <w:rsid w:val="00B664C7"/>
    <w:rsid w:val="00B713D8"/>
    <w:rsid w:val="00B7156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54D"/>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1F4A"/>
    <w:rsid w:val="00CB1F63"/>
    <w:rsid w:val="00CB7170"/>
    <w:rsid w:val="00CC040E"/>
    <w:rsid w:val="00CC111F"/>
    <w:rsid w:val="00CC2011"/>
    <w:rsid w:val="00CC3EA0"/>
    <w:rsid w:val="00CC7B45"/>
    <w:rsid w:val="00CD1188"/>
    <w:rsid w:val="00CD2ED1"/>
    <w:rsid w:val="00CD337B"/>
    <w:rsid w:val="00CE0424"/>
    <w:rsid w:val="00CE7561"/>
    <w:rsid w:val="00CF04B8"/>
    <w:rsid w:val="00CF1354"/>
    <w:rsid w:val="00CF3B1F"/>
    <w:rsid w:val="00CF3BF6"/>
    <w:rsid w:val="00CF625B"/>
    <w:rsid w:val="00CF687E"/>
    <w:rsid w:val="00D0349B"/>
    <w:rsid w:val="00D10249"/>
    <w:rsid w:val="00D115C3"/>
    <w:rsid w:val="00D11897"/>
    <w:rsid w:val="00D13135"/>
    <w:rsid w:val="00D13E4E"/>
    <w:rsid w:val="00D239A7"/>
    <w:rsid w:val="00D23F47"/>
    <w:rsid w:val="00D27E02"/>
    <w:rsid w:val="00D36E71"/>
    <w:rsid w:val="00D37D87"/>
    <w:rsid w:val="00D40B33"/>
    <w:rsid w:val="00D4318F"/>
    <w:rsid w:val="00D438BF"/>
    <w:rsid w:val="00D440F8"/>
    <w:rsid w:val="00D546FF"/>
    <w:rsid w:val="00D54BB6"/>
    <w:rsid w:val="00D55AD5"/>
    <w:rsid w:val="00D576CA"/>
    <w:rsid w:val="00D61AF5"/>
    <w:rsid w:val="00D64885"/>
    <w:rsid w:val="00D652B5"/>
    <w:rsid w:val="00D66155"/>
    <w:rsid w:val="00D708B0"/>
    <w:rsid w:val="00D77B1D"/>
    <w:rsid w:val="00D8021F"/>
    <w:rsid w:val="00D80383"/>
    <w:rsid w:val="00D81E16"/>
    <w:rsid w:val="00D823C6"/>
    <w:rsid w:val="00D8327F"/>
    <w:rsid w:val="00D83F57"/>
    <w:rsid w:val="00D86CA3"/>
    <w:rsid w:val="00D871CE"/>
    <w:rsid w:val="00D9196D"/>
    <w:rsid w:val="00D92982"/>
    <w:rsid w:val="00DA02EF"/>
    <w:rsid w:val="00DA305E"/>
    <w:rsid w:val="00DA5417"/>
    <w:rsid w:val="00DA56E8"/>
    <w:rsid w:val="00DB0A9F"/>
    <w:rsid w:val="00DB377D"/>
    <w:rsid w:val="00DC2D36"/>
    <w:rsid w:val="00DC3B80"/>
    <w:rsid w:val="00DC53EF"/>
    <w:rsid w:val="00DE1B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006"/>
    <w:rsid w:val="00E46886"/>
    <w:rsid w:val="00E47AEF"/>
    <w:rsid w:val="00E53B75"/>
    <w:rsid w:val="00E54E3B"/>
    <w:rsid w:val="00E57565"/>
    <w:rsid w:val="00E6142A"/>
    <w:rsid w:val="00E63838"/>
    <w:rsid w:val="00E64434"/>
    <w:rsid w:val="00E67C51"/>
    <w:rsid w:val="00E72EFC"/>
    <w:rsid w:val="00E758EC"/>
    <w:rsid w:val="00E77B9A"/>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48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D5E"/>
    <w:rsid w:val="00F804BE"/>
    <w:rsid w:val="00F817CE"/>
    <w:rsid w:val="00F8456C"/>
    <w:rsid w:val="00F859D8"/>
    <w:rsid w:val="00F868F5"/>
    <w:rsid w:val="00F9056A"/>
    <w:rsid w:val="00F90F8D"/>
    <w:rsid w:val="00F92782"/>
    <w:rsid w:val="00F93AA9"/>
    <w:rsid w:val="00F96985"/>
    <w:rsid w:val="00F97838"/>
    <w:rsid w:val="00FA13F8"/>
    <w:rsid w:val="00FA2BB3"/>
    <w:rsid w:val="00FA3614"/>
    <w:rsid w:val="00FB4C80"/>
    <w:rsid w:val="00FB6A6A"/>
    <w:rsid w:val="00FB790B"/>
    <w:rsid w:val="00FC720E"/>
    <w:rsid w:val="00FC7429"/>
    <w:rsid w:val="00FD07F6"/>
    <w:rsid w:val="00FD1EC8"/>
    <w:rsid w:val="00FD365D"/>
    <w:rsid w:val="00FD47ED"/>
    <w:rsid w:val="00FD74DB"/>
    <w:rsid w:val="00FD7660"/>
    <w:rsid w:val="00FE0655"/>
    <w:rsid w:val="00FE2365"/>
    <w:rsid w:val="00FE37D7"/>
    <w:rsid w:val="00FE4C7B"/>
    <w:rsid w:val="00FE7336"/>
    <w:rsid w:val="00FE787C"/>
    <w:rsid w:val="00FF35C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7E1E5F-29E1-4EE3-BE66-4952D7DD7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schemas.microsoft.com/office/2006/metadata/properties"/>
    <ds:schemaRef ds:uri="http://purl.org/dc/dcmitype/"/>
    <ds:schemaRef ds:uri="9b239327-9e80-40e4-b1b7-4394fed77a33"/>
    <ds:schemaRef ds:uri="http://purl.org/dc/terms/"/>
    <ds:schemaRef ds:uri="d8762117-8292-4133-b1c7-eab5c6487cfd"/>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778</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54</cp:revision>
  <cp:lastPrinted>2008-01-31T16:09:00Z</cp:lastPrinted>
  <dcterms:created xsi:type="dcterms:W3CDTF">2020-08-14T06:21:00Z</dcterms:created>
  <dcterms:modified xsi:type="dcterms:W3CDTF">2023-11-03T10:17:00Z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